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line="460" w:lineRule="exact"/>
        <w:jc w:val="center"/>
        <w:rPr>
          <w:rFonts w:hint="eastAsia" w:ascii="仿宋" w:hAnsi="仿宋" w:eastAsia="仿宋" w:cs="仿宋"/>
          <w:sz w:val="36"/>
        </w:rPr>
      </w:pPr>
      <w:bookmarkStart w:id="0" w:name="_Toc19108"/>
      <w:r>
        <w:rPr>
          <w:rFonts w:hint="eastAsia" w:ascii="仿宋" w:hAnsi="仿宋" w:eastAsia="仿宋" w:cs="仿宋"/>
          <w:sz w:val="36"/>
        </w:rPr>
        <w:t>竞争性磋商公告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-512" w:rightChars="-244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舜洁（山东）物业发展有限公司</w:t>
      </w:r>
      <w:r>
        <w:rPr>
          <w:rFonts w:hint="eastAsia" w:ascii="宋体" w:hAnsi="宋体" w:eastAsia="宋体" w:cs="宋体"/>
          <w:sz w:val="24"/>
          <w:szCs w:val="24"/>
        </w:rPr>
        <w:t>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济南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东站综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合服务台建设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制作项目</w:t>
      </w:r>
      <w:r>
        <w:rPr>
          <w:rFonts w:hint="eastAsia" w:ascii="宋体" w:hAnsi="宋体" w:eastAsia="宋体" w:cs="宋体"/>
          <w:sz w:val="24"/>
          <w:szCs w:val="24"/>
        </w:rPr>
        <w:t>以竞争性磋商的方式组织招标，欢迎符合条件的合格供应商参加。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-512" w:rightChars="-244" w:firstLine="0" w:firstLineChars="0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一、采购人：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eastAsia="zh-CN"/>
        </w:rPr>
        <w:t>舜洁（山东）物业发展有限公司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right="-512" w:rightChars="-244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项目名称：济南东站综合服务台建设物资项目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-512" w:rightChars="-244" w:firstLine="0" w:firstLineChars="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项目概况（具体详见磋商文件）：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right="-512" w:rightChars="-244" w:firstLine="480" w:firstLineChars="200"/>
        <w:rPr>
          <w:rFonts w:hint="eastAsia" w:ascii="宋体" w:hAnsi="宋体" w:eastAsia="宋体" w:cs="宋体"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济南东站综合服务台建设物资项目，采购人为舜洁（山东）物业发展有限公司。项目资金由采购人自筹并已落实，项目已具备采购条件,现对该项目采用竞争性磋商方式进行采购。</w:t>
      </w:r>
      <w:r>
        <w:rPr>
          <w:rFonts w:hint="eastAsia" w:ascii="宋体" w:hAnsi="宋体" w:eastAsia="宋体" w:cs="宋体"/>
          <w:bCs/>
          <w:sz w:val="24"/>
          <w:szCs w:val="24"/>
          <w:highlight w:val="yellow"/>
          <w:lang w:val="en-US" w:eastAsia="zh-CN"/>
        </w:rPr>
        <w:t>本采购项目此次服务范围为济南东站综合服务台所需全部物资，包括但不限于采购清单内物资的设计、生产、包装、运输、装卸、安装、调试、验收及售后服务等，具体详见采购文件。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-512" w:rightChars="-244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、合格供应商资格要求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bookmarkStart w:id="1" w:name="_GoBack"/>
      <w:bookmarkEnd w:id="1"/>
    </w:p>
    <w:tbl>
      <w:tblPr>
        <w:tblStyle w:val="5"/>
        <w:tblW w:w="10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154"/>
        <w:gridCol w:w="6627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-512" w:rightChars="-24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-512" w:rightChars="-24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段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-512" w:rightChars="-24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-512" w:rightChars="-24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-512" w:rightChars="-244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供应商资格要求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-512" w:rightChars="-24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预算金额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-512" w:rightChars="-24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（最高限价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-512" w:rightChars="-24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5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-512" w:rightChars="-244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-512" w:rightChars="-244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济南东站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-512" w:rightChars="-244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综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合服务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-512" w:rightChars="-244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台建设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-512" w:rightChars="-244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作项目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-512" w:rightChars="-244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360" w:lineRule="auto"/>
              <w:ind w:left="0" w:leftChars="0" w:right="-512" w:rightChars="-244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供应商须在中华人民共和国境内合法注册，具有独立法人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资格，并具备相应的服务能力；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right="-512" w:rightChars="-244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2.信誉要求：供应商未被"中国执行信息公开网"网站（http://zxgk.court.gov.cn/shixin/）列为失信被执行人；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right="-512" w:rightChars="-244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3.本项目不接受联合体报价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205420.00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-512" w:rightChars="-244" w:firstLine="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六、竞争性磋商文件的获取时间及方式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-512" w:rightChars="-244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日上午8：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下午1: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0-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（法定节假日不接受报名）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-512" w:rightChars="-244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报名</w:t>
      </w:r>
      <w:r>
        <w:rPr>
          <w:rFonts w:hint="eastAsia" w:ascii="宋体" w:hAnsi="宋体" w:eastAsia="宋体" w:cs="宋体"/>
          <w:sz w:val="24"/>
          <w:szCs w:val="24"/>
        </w:rPr>
        <w:t>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凡有意参加本次采购活动的供应商发送邮件报名。采用邮件报名方式内容为：所需资料加盖公章的扫描件，（扫描成一个PDF文件即可）发送至舜洁（山东）物业发展有限公司邮箱sjsdwy002@163.com。邮件名称命名为：供应商名称-项目名称-报名，并电话通知采购方联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-512" w:rightChars="-244" w:firstLine="480" w:firstLineChars="200"/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所需资料：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-512" w:rightChars="-244" w:firstLine="480" w:firstLineChars="200"/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  <w:lang w:val="en-US" w:eastAsia="zh-CN"/>
        </w:rPr>
        <w:t>（1）营业执照；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-512" w:rightChars="-244" w:firstLine="480" w:firstLineChars="200"/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  <w:lang w:val="en-US" w:eastAsia="zh-CN"/>
        </w:rPr>
        <w:t>（2）授权委托书、授权代表身份证；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-512" w:rightChars="-244" w:firstLine="480" w:firstLineChars="200"/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  <w:lang w:val="en-US" w:eastAsia="zh-CN"/>
        </w:rPr>
        <w:t>（3）参加本采购活动前三年内，在经营活动中无重大违法记录声明；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-512" w:rightChars="-244" w:firstLine="480" w:firstLineChars="200"/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  <w:lang w:val="en-US" w:eastAsia="zh-CN"/>
        </w:rPr>
        <w:t>（4）投标人需提供未被"中国执行信息公开网"网站（http://zxgk.court.gov.cn/shixin/）列为失信被执行人查询的本单位信用记录截图并加盖公章。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-512" w:rightChars="-244" w:firstLine="480" w:firstLineChars="200"/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  <w:lang w:val="en-US" w:eastAsia="zh-CN"/>
        </w:rPr>
        <w:t>备注：获取招标文件时的资料查验，不代表资格审查的最终通过或合格，投标人最终资格的确认以评标委员会组织的资格审查为准。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-512" w:rightChars="-244" w:firstLine="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七、磋商会议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-512" w:rightChars="-244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开始时间: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0（以磋商文件为准）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-512" w:rightChars="-244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磋商地点:济南市历下区中林路与舜华北路交叉口（东北角）济南轨道交通姜家庄停车场办公楼4楼404室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-512" w:rightChars="-244" w:firstLine="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八、其他：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-512" w:rightChars="-244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1、报名时提供资料必须真实有效,严禁借资质参加报价或成交后转包，因此造成的法律后果自负。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-512" w:rightChars="-244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2、采购人只接受在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开标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会场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提交的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响应文件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，拒绝接受邮寄、信函等方式的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响应文件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-512" w:rightChars="-244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3、本公告在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中国招标投标公共服务平台、舜洁云采平台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-512" w:rightChars="-244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       舜洁（山东）物业发展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有限公司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-512" w:rightChars="-244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  二〇二三年十一月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十七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3AC95"/>
    <w:multiLevelType w:val="singleLevel"/>
    <w:tmpl w:val="23D3AC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MTk4YWFiNDg0YjNlNjVkNTJiYzA1OTQ0OTNkMzAifQ=="/>
  </w:docVars>
  <w:rsids>
    <w:rsidRoot w:val="4837354A"/>
    <w:rsid w:val="03F45BEC"/>
    <w:rsid w:val="24B87713"/>
    <w:rsid w:val="3B3D61BD"/>
    <w:rsid w:val="4837354A"/>
    <w:rsid w:val="4ACF0054"/>
    <w:rsid w:val="78F83222"/>
    <w:rsid w:val="79B8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kern w:val="0"/>
      <w:sz w:val="20"/>
    </w:rPr>
  </w:style>
  <w:style w:type="paragraph" w:styleId="3">
    <w:name w:val="footnote text"/>
    <w:basedOn w:val="1"/>
    <w:semiHidden/>
    <w:qFormat/>
    <w:uiPriority w:val="0"/>
    <w:pPr>
      <w:snapToGrid w:val="0"/>
      <w:jc w:val="left"/>
    </w:pPr>
    <w:rPr>
      <w:rFonts w:ascii="DFKai-SB" w:eastAsia="DFKai-SB"/>
      <w:kern w:val="0"/>
      <w:sz w:val="20"/>
      <w:szCs w:val="20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2023-11-16T07:34:00Z</dcterms:created>
  <dc:creator>茉莉</dc:creator>
  <cp:lastModifiedBy>茉莉</cp:lastModifiedBy>
  <dcterms:modified xsi:type="dcterms:W3CDTF">2023-11-17T09:37:57Z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D58395A383C84BDF9648B26467D1BA4D_11</vt:lpwstr>
  </property>
</Properties>
</file>